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68ACBA36"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Application of Software Packages in Chemistry</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1F1B579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45709AC3"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044BC">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0BEDF6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044BC">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5E7F16">
                    <w:rPr>
                      <w:rFonts w:asciiTheme="majorHAnsi" w:hAnsiTheme="majorHAnsi" w:cs="Arial"/>
                      <w:b/>
                      <w:sz w:val="18"/>
                      <w:szCs w:val="18"/>
                    </w:rPr>
                  </w:r>
                  <w:r w:rsidR="005E7F16">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12E058D8"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044BC" w:rsidRPr="00C044BC">
              <w:rPr>
                <w:rFonts w:asciiTheme="majorHAnsi" w:hAnsiTheme="majorHAnsi"/>
                <w:b/>
                <w:sz w:val="18"/>
                <w:szCs w:val="18"/>
              </w:rPr>
              <w:t>No prerequisites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6C05FA5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b/>
                <w:sz w:val="18"/>
                <w:szCs w:val="18"/>
              </w:rPr>
              <w:t>Faculty of Science and Mathematics</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3C614CB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044B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470BCA1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2A55454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044BC">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7E11700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Pr>
                <w:rFonts w:asciiTheme="majorHAnsi" w:hAnsiTheme="majorHAnsi" w:cs="Arial"/>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244E811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044BC">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105D98A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Pr>
                <w:rFonts w:asciiTheme="majorHAnsi" w:hAnsiTheme="majorHAnsi" w:cs="Arial"/>
                <w:b/>
                <w:sz w:val="18"/>
                <w:szCs w:val="18"/>
              </w:rPr>
              <w:t>86.13</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72BC1FB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044BC">
              <w:rPr>
                <w:rFonts w:asciiTheme="majorHAnsi" w:hAnsiTheme="majorHAnsi"/>
                <w:b/>
                <w:sz w:val="18"/>
                <w:szCs w:val="18"/>
              </w:rPr>
              <w:t>2</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55F0E3C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Pr>
                <w:rFonts w:asciiTheme="majorHAnsi" w:hAnsiTheme="majorHAnsi" w:cs="Arial"/>
                <w:b/>
                <w:sz w:val="18"/>
                <w:szCs w:val="18"/>
              </w:rPr>
              <w:t>131.13</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21B82BD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Chemistry – Chemistry</w:t>
            </w:r>
            <w:r w:rsidR="00C044BC">
              <w:rPr>
                <w:rFonts w:asciiTheme="majorHAnsi" w:hAnsiTheme="majorHAnsi" w:cs="Arial"/>
                <w:b/>
                <w:sz w:val="18"/>
                <w:szCs w:val="18"/>
              </w:rPr>
              <w:t>/</w:t>
            </w:r>
            <w:r w:rsidR="007F1C54" w:rsidRPr="007F1C54">
              <w:rPr>
                <w:rFonts w:asciiTheme="majorHAnsi" w:hAnsiTheme="majorHAnsi" w:cs="Arial"/>
                <w:b/>
                <w:sz w:val="18"/>
                <w:szCs w:val="18"/>
              </w:rPr>
              <w:t xml:space="preserve"> </w:t>
            </w:r>
            <w:r w:rsidR="00C044BC" w:rsidRPr="00C044BC">
              <w:rPr>
                <w:rFonts w:asciiTheme="majorHAnsi" w:hAnsiTheme="majorHAnsi" w:cs="Arial"/>
                <w:b/>
                <w:sz w:val="18"/>
                <w:szCs w:val="18"/>
              </w:rPr>
              <w:t>Education in Chemistry</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02EDE83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044BC">
              <w:rPr>
                <w:rFonts w:asciiTheme="majorHAnsi" w:hAnsiTheme="majorHAnsi" w:cs="Arial"/>
                <w:b/>
                <w:sz w:val="18"/>
                <w:szCs w:val="18"/>
              </w:rPr>
              <w:t>Majda Srabović</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C44FA6" w14:textId="11B718BB"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Introducing students to the application of software packages relevant to chemistry. Training students to locate and retrieve necessary information in chemistry. The course includes searching chemical databases as well as using specific software programs of interest in the field of chemistry.</w:t>
            </w:r>
            <w:r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6B93D9A9"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By the end of the semester, successful students who have consistently completed their obligations throughout the course will be able to independently perform tasks that involve drawing various chemical structures, molecules, and laboratory equipment and glassware. They will also be able to independently carry out basic operations for searching chemical databases, and independently prepare examples of final papers, including the ability to illustrate chemical reactions, diagrams, equations, and tables using appropriate chemistry software.</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280BDC1" w14:textId="5EA1681C" w:rsidR="00C044BC" w:rsidRPr="00C044BC" w:rsidRDefault="006D5B9B" w:rsidP="00C044B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Introduction to the Application of Computers in Chemistry</w:t>
            </w:r>
            <w:r w:rsidR="00C044BC">
              <w:rPr>
                <w:rFonts w:asciiTheme="majorHAnsi" w:hAnsiTheme="majorHAnsi" w:cs="Arial"/>
                <w:b/>
                <w:sz w:val="18"/>
                <w:szCs w:val="18"/>
              </w:rPr>
              <w:t xml:space="preserve">. </w:t>
            </w:r>
            <w:r w:rsidR="00C044BC" w:rsidRPr="00C044BC">
              <w:rPr>
                <w:rFonts w:asciiTheme="majorHAnsi" w:hAnsiTheme="majorHAnsi" w:cs="Arial"/>
                <w:b/>
                <w:sz w:val="18"/>
                <w:szCs w:val="18"/>
              </w:rPr>
              <w:t>Information technologies and computerization in chemistry.</w:t>
            </w:r>
          </w:p>
          <w:p w14:paraId="66865975" w14:textId="03A4BB52"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ChemDraw Ultra</w:t>
            </w:r>
            <w:r>
              <w:rPr>
                <w:rFonts w:asciiTheme="majorHAnsi" w:hAnsiTheme="majorHAnsi" w:cs="Arial"/>
                <w:b/>
                <w:sz w:val="18"/>
                <w:szCs w:val="18"/>
              </w:rPr>
              <w:t xml:space="preserve">. </w:t>
            </w:r>
            <w:r w:rsidRPr="00C044BC">
              <w:rPr>
                <w:rFonts w:asciiTheme="majorHAnsi" w:hAnsiTheme="majorHAnsi" w:cs="Arial"/>
                <w:b/>
                <w:sz w:val="18"/>
                <w:szCs w:val="18"/>
              </w:rPr>
              <w:t>Basics of ChemDraw.Drawing basic chemical structures, Fischer projections, Haworth and Newman structures.Representation of C-NMR and H-NMR spectra using ChemDraw.Display of TLC chromatography results for given compounds.Chem3D</w:t>
            </w:r>
            <w:r>
              <w:rPr>
                <w:rFonts w:asciiTheme="majorHAnsi" w:hAnsiTheme="majorHAnsi" w:cs="Arial"/>
                <w:b/>
                <w:sz w:val="18"/>
                <w:szCs w:val="18"/>
              </w:rPr>
              <w:t>.</w:t>
            </w:r>
            <w:r w:rsidRPr="00C044BC">
              <w:rPr>
                <w:rFonts w:asciiTheme="majorHAnsi" w:hAnsiTheme="majorHAnsi" w:cs="Arial"/>
                <w:b/>
                <w:sz w:val="18"/>
                <w:szCs w:val="18"/>
              </w:rPr>
              <w:t>Molecular mechanics optimization methods.ChemFinder Ultra</w:t>
            </w:r>
            <w:r>
              <w:rPr>
                <w:rFonts w:asciiTheme="majorHAnsi" w:hAnsiTheme="majorHAnsi" w:cs="Arial"/>
                <w:b/>
                <w:sz w:val="18"/>
                <w:szCs w:val="18"/>
              </w:rPr>
              <w:t>.</w:t>
            </w:r>
            <w:r w:rsidRPr="00C044BC">
              <w:rPr>
                <w:rFonts w:asciiTheme="majorHAnsi" w:hAnsiTheme="majorHAnsi" w:cs="Arial"/>
                <w:b/>
                <w:sz w:val="18"/>
                <w:szCs w:val="18"/>
              </w:rPr>
              <w:t>Information sources, how to access information, and Internet search engines.Primary, secondary, and tertiary literature.Searching scientific literature.</w:t>
            </w:r>
          </w:p>
          <w:p w14:paraId="3BB9811F" w14:textId="43C45482" w:rsidR="00CB72ED" w:rsidRPr="00B96B4F"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Searching chemical databases (e.g., ISI Web of Science, ScienceDirect, CAS).Scientific and Technical WritingWriting scientific and technical papers, including literature citation methods.Chemical DatabasesDatabases containing spectral data of chemical substances (e.g., NIST, SDBS Spectral Database).Databases providing information on chemical properties, hazards, and toxicity (e.g., MSDS, Chemical Book).Databases offering access to chemical structures and nomenclature (e.g., IUPAC nomenclature, ChemIDplus Advances)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FB2BDDB" w14:textId="77777777" w:rsidR="00C044BC" w:rsidRPr="00C044BC" w:rsidRDefault="006D5B9B" w:rsidP="00C044B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To ensure effective teaching and achieve the expected course objectives and student competencies by the end of the semester, various teaching methods are used:</w:t>
            </w:r>
          </w:p>
          <w:p w14:paraId="3C03551A" w14:textId="77777777"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Lectures (L) with the use of multimedia tools, active learning techniques, and active student participation;</w:t>
            </w:r>
          </w:p>
          <w:p w14:paraId="69705E83" w14:textId="77777777"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Individual seminar papers;</w:t>
            </w:r>
          </w:p>
          <w:p w14:paraId="47D36B24" w14:textId="2BBFC89F" w:rsidR="00CB72ED" w:rsidRPr="00B96B4F"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Consultations.</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64EA524" w14:textId="5EE3BB76" w:rsidR="00E11D98" w:rsidRDefault="006D5B9B" w:rsidP="00C044B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Practical work, seminar paper, final exam, make-up exam, and additional make-up exam.During the semester, students complete practical work, which carries a maximum of 30 points.The final exam is in the form of a test and consists of tasks and questions covering the entire material taught during the course. It carries a maximum of 50 points. Students are required to answer questions and complete tasks from each topic covered in the course.Make-up and additional make-up exams follow the same format and principles as the final exam.Students are also required to prepare and present a seminar paper, which carries a maximum of 10 points.The instructor will monitor student attendance throughout the semester using a specially designed form.</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E2A8C61" w14:textId="77777777" w:rsidR="00C044BC" w:rsidRPr="00C044BC" w:rsidRDefault="006D5B9B" w:rsidP="00C044B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044BC" w:rsidRPr="00C044BC">
              <w:rPr>
                <w:rFonts w:asciiTheme="majorHAnsi" w:hAnsiTheme="majorHAnsi" w:cs="Arial"/>
                <w:b/>
                <w:sz w:val="18"/>
                <w:szCs w:val="18"/>
              </w:rPr>
              <w:t>Points Earned</w:t>
            </w:r>
            <w:r w:rsidR="00C044BC" w:rsidRPr="00C044BC">
              <w:rPr>
                <w:rFonts w:asciiTheme="majorHAnsi" w:hAnsiTheme="majorHAnsi" w:cs="Arial"/>
                <w:b/>
                <w:sz w:val="18"/>
                <w:szCs w:val="18"/>
              </w:rPr>
              <w:tab/>
              <w:t>Grade (BiH)</w:t>
            </w:r>
            <w:r w:rsidR="00C044BC" w:rsidRPr="00C044BC">
              <w:rPr>
                <w:rFonts w:asciiTheme="majorHAnsi" w:hAnsiTheme="majorHAnsi" w:cs="Arial"/>
                <w:b/>
                <w:sz w:val="18"/>
                <w:szCs w:val="18"/>
              </w:rPr>
              <w:tab/>
              <w:t>ECTS Grade</w:t>
            </w:r>
          </w:p>
          <w:p w14:paraId="31583D48" w14:textId="58891791"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0 – 54</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5</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F</w:t>
            </w:r>
          </w:p>
          <w:p w14:paraId="2133B70B" w14:textId="0BADBC7F"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55 – 64</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6</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E</w:t>
            </w:r>
          </w:p>
          <w:p w14:paraId="5801EA33" w14:textId="2CE139DE"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65 – 74</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7</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D</w:t>
            </w:r>
          </w:p>
          <w:p w14:paraId="5C82921F" w14:textId="1FD3F4D9"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75 – 84</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8</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C</w:t>
            </w:r>
          </w:p>
          <w:p w14:paraId="182CA92C" w14:textId="251B0BBA" w:rsidR="00C044BC" w:rsidRPr="00C044BC"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85 – 94</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9</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B</w:t>
            </w:r>
          </w:p>
          <w:p w14:paraId="603783D8" w14:textId="730B1824" w:rsidR="00CB72ED" w:rsidRPr="00B96B4F" w:rsidRDefault="00C044BC" w:rsidP="00C044BC">
            <w:pPr>
              <w:pStyle w:val="NoSpacing"/>
              <w:rPr>
                <w:rFonts w:asciiTheme="majorHAnsi" w:hAnsiTheme="majorHAnsi" w:cs="Arial"/>
                <w:b/>
                <w:sz w:val="18"/>
                <w:szCs w:val="18"/>
              </w:rPr>
            </w:pPr>
            <w:r w:rsidRPr="00C044BC">
              <w:rPr>
                <w:rFonts w:asciiTheme="majorHAnsi" w:hAnsiTheme="majorHAnsi" w:cs="Arial"/>
                <w:b/>
                <w:sz w:val="18"/>
                <w:szCs w:val="18"/>
              </w:rPr>
              <w:t>95 – 100</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10</w:t>
            </w:r>
            <w:r w:rsidRPr="00C044BC">
              <w:rPr>
                <w:rFonts w:asciiTheme="majorHAnsi" w:hAnsiTheme="majorHAnsi" w:cs="Arial"/>
                <w:b/>
                <w:sz w:val="18"/>
                <w:szCs w:val="18"/>
              </w:rPr>
              <w:tab/>
            </w:r>
            <w:r w:rsidR="003B78FA">
              <w:rPr>
                <w:rFonts w:asciiTheme="majorHAnsi" w:hAnsiTheme="majorHAnsi" w:cs="Arial"/>
                <w:b/>
                <w:sz w:val="18"/>
                <w:szCs w:val="18"/>
              </w:rPr>
              <w:t xml:space="preserve">                           </w:t>
            </w:r>
            <w:r w:rsidRPr="00C044BC">
              <w:rPr>
                <w:rFonts w:asciiTheme="majorHAnsi" w:hAnsiTheme="majorHAnsi" w:cs="Arial"/>
                <w:b/>
                <w:sz w:val="18"/>
                <w:szCs w:val="18"/>
              </w:rPr>
              <w:t>A</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2C23684" w14:textId="77777777" w:rsidR="003B78FA" w:rsidRPr="003B78FA" w:rsidRDefault="006D5B9B" w:rsidP="003B78F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78FA" w:rsidRPr="003B78FA">
              <w:rPr>
                <w:rFonts w:asciiTheme="majorHAnsi" w:hAnsiTheme="majorHAnsi" w:cs="Arial"/>
                <w:b/>
                <w:sz w:val="18"/>
                <w:szCs w:val="18"/>
              </w:rPr>
              <w:t>P. Kirby, Write Correctly, Lit Library and Information Center.</w:t>
            </w:r>
          </w:p>
          <w:p w14:paraId="6326AD59"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Željana Vučina, Searching and Evaluating Information on the Internet, CARNet – Croatian Academic and Research Network, 2006 (PDF).</w:t>
            </w:r>
          </w:p>
          <w:p w14:paraId="28F7BF18" w14:textId="5500BE4A" w:rsidR="00CB72ED" w:rsidRPr="00B96B4F"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Tomislav Janović, Citing, Paraphrasing, and Referencing Sources in Academic Texts, University of Zadar, 2009 (PDF).</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505798" w14:textId="77777777" w:rsidR="003B78FA" w:rsidRPr="003B78FA" w:rsidRDefault="006D5B9B" w:rsidP="003B78F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78FA" w:rsidRPr="003B78FA">
              <w:rPr>
                <w:rFonts w:asciiTheme="majorHAnsi" w:hAnsiTheme="majorHAnsi" w:cs="Arial"/>
                <w:b/>
                <w:sz w:val="18"/>
                <w:szCs w:val="18"/>
              </w:rPr>
              <w:t>www.ebsco.com</w:t>
            </w:r>
          </w:p>
          <w:p w14:paraId="1A3D5D2E"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www.cas.org</w:t>
            </w:r>
          </w:p>
          <w:p w14:paraId="3F2C6409"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www.iupac.org</w:t>
            </w:r>
          </w:p>
          <w:p w14:paraId="25067B32"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www.msds.com</w:t>
            </w:r>
          </w:p>
          <w:p w14:paraId="04B10369"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www.webofknowledge.com</w:t>
            </w:r>
          </w:p>
          <w:p w14:paraId="15DC893F"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www.nist.gov</w:t>
            </w:r>
          </w:p>
          <w:p w14:paraId="4889EEE8" w14:textId="77777777" w:rsidR="003B78FA" w:rsidRPr="003B78FA"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www.epa.gov</w:t>
            </w:r>
          </w:p>
          <w:p w14:paraId="568B0926" w14:textId="6E9F1CE2" w:rsidR="00CB72ED" w:rsidRPr="00B96B4F" w:rsidRDefault="003B78FA" w:rsidP="003B78FA">
            <w:pPr>
              <w:pStyle w:val="NoSpacing"/>
              <w:rPr>
                <w:rFonts w:asciiTheme="majorHAnsi" w:hAnsiTheme="majorHAnsi" w:cs="Arial"/>
                <w:b/>
                <w:sz w:val="18"/>
                <w:szCs w:val="18"/>
              </w:rPr>
            </w:pPr>
            <w:r w:rsidRPr="003B78FA">
              <w:rPr>
                <w:rFonts w:asciiTheme="majorHAnsi" w:hAnsiTheme="majorHAnsi" w:cs="Arial"/>
                <w:b/>
                <w:sz w:val="18"/>
                <w:szCs w:val="18"/>
              </w:rPr>
              <w:t>https://www.yumpu.com/xx/document/read/15919334/prirucnik-za-metodologiju-istrazivackog-rada-managerhr</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E2B57" w14:textId="77777777" w:rsidR="005E7F16" w:rsidRDefault="005E7F16">
      <w:pPr>
        <w:spacing w:line="240" w:lineRule="auto"/>
      </w:pPr>
      <w:r>
        <w:separator/>
      </w:r>
    </w:p>
  </w:endnote>
  <w:endnote w:type="continuationSeparator" w:id="0">
    <w:p w14:paraId="4839A8D8" w14:textId="77777777" w:rsidR="005E7F16" w:rsidRDefault="005E7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045ADC11"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E47BB">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EE47BB">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EE47BB">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E6EB6" w14:textId="77777777" w:rsidR="005E7F16" w:rsidRDefault="005E7F16">
      <w:pPr>
        <w:spacing w:after="0"/>
      </w:pPr>
      <w:r>
        <w:separator/>
      </w:r>
    </w:p>
  </w:footnote>
  <w:footnote w:type="continuationSeparator" w:id="0">
    <w:p w14:paraId="6829191F" w14:textId="77777777" w:rsidR="005E7F16" w:rsidRDefault="005E7F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8FA"/>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E7F16"/>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044B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5A37"/>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47BB"/>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9E35-54D7-4923-BFF3-1B71450B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2026-03-13T09:30:00Z</dcterms:created>
  <dcterms:modified xsi:type="dcterms:W3CDTF">2026-03-13T09:30:00Z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